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820" w:right="-426"/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Додаток 8</w:t>
      </w:r>
      <w:r/>
    </w:p>
    <w:p>
      <w:pPr>
        <w:ind w:left="4820" w:right="-426"/>
        <w:spacing w:after="0" w:line="240" w:lineRule="auto"/>
        <w:rPr>
          <w:rFonts w:ascii="Times New Roman" w:hAnsi="Times New Roman" w:eastAsia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до Комплексної Програми </w:t>
      </w:r>
      <w:r>
        <w:rPr>
          <w:rFonts w:ascii="Times New Roman" w:hAnsi="Times New Roman" w:eastAsia="Times New Roman"/>
          <w:bCs/>
          <w:iCs/>
          <w:sz w:val="28"/>
          <w:szCs w:val="28"/>
          <w:lang w:val="uk-UA" w:eastAsia="ru-RU"/>
        </w:rPr>
        <w:t xml:space="preserve">підвищення конкурентоспроможності Чернігівської області на 2021-2027 роки «Чернігівщина конкурентоспроможна»</w:t>
      </w:r>
      <w:r/>
    </w:p>
    <w:p>
      <w:pPr>
        <w:ind w:left="4820" w:right="-426"/>
        <w:spacing w:after="0" w:line="240" w:lineRule="auto"/>
        <w:rPr>
          <w:rFonts w:ascii="Times New Roman" w:hAnsi="Times New Roman" w:eastAsia="Times New Roman"/>
          <w:bCs/>
          <w:i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Cs/>
          <w:i/>
          <w:sz w:val="28"/>
          <w:szCs w:val="28"/>
          <w:lang w:val="uk-UA" w:eastAsia="ru-RU"/>
        </w:rPr>
      </w:r>
      <w:r/>
    </w:p>
    <w:p>
      <w:pPr>
        <w:ind w:left="567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ПОРЯДОК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часткового відшкодування підприємствам області вартості витрат з </w:t>
      </w:r>
      <w:r>
        <w:rPr>
          <w:rFonts w:ascii="Times New Roman" w:hAnsi="Times New Roman"/>
          <w:b/>
          <w:sz w:val="28"/>
          <w:lang w:val="uk-UA"/>
        </w:rPr>
        <w:t xml:space="preserve">сертифікації продукції, систем управління та/або оцінки відповідності продукції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(далі – Порядок)</w:t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  <w:t xml:space="preserve">Загальні положення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  <w:r/>
    </w:p>
    <w:p>
      <w:pPr>
        <w:pStyle w:val="633"/>
        <w:numPr>
          <w:ilvl w:val="0"/>
          <w:numId w:val="1"/>
        </w:numPr>
        <w:ind w:left="0" w:firstLine="426"/>
        <w:jc w:val="both"/>
        <w:spacing w:after="0" w:line="240" w:lineRule="auto"/>
        <w:tabs>
          <w:tab w:val="left" w:pos="426" w:leader="none"/>
          <w:tab w:val="left" w:pos="815" w:leader="none"/>
          <w:tab w:val="left" w:pos="993" w:leader="none"/>
        </w:tabs>
        <w:rPr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Порядок визначає механізм використання коштів обласного бюджету, передбачених для часткового відшкодування витрат підприємств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br/>
        <w:t xml:space="preserve">(юридичних осіб), які є суб’єктами малого та середнього підприємництва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br/>
        <w:t xml:space="preserve">(далі – підприємства)</w:t>
      </w:r>
      <w:r>
        <w:rPr>
          <w:rFonts w:ascii="Times New Roman" w:hAnsi="Times New Roman"/>
          <w:sz w:val="28"/>
          <w:szCs w:val="28"/>
          <w:lang w:val="uk-UA"/>
        </w:rPr>
        <w:t xml:space="preserve">, пов’язаних з проведенням робіт з </w:t>
      </w:r>
      <w:r>
        <w:rPr>
          <w:rFonts w:ascii="Times New Roman" w:hAnsi="Times New Roman"/>
          <w:sz w:val="28"/>
          <w:szCs w:val="28"/>
          <w:lang w:val="uk-UA"/>
        </w:rPr>
        <w:t xml:space="preserve">сертифікації продукції,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систем управління та/або оцінки відповідності продукції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(далі – часткове відшкодування) </w:t>
      </w:r>
      <w:r>
        <w:rPr>
          <w:rFonts w:ascii="Times New Roman" w:hAnsi="Times New Roman"/>
          <w:sz w:val="28"/>
          <w:szCs w:val="28"/>
          <w:lang w:val="uk-UA"/>
        </w:rPr>
        <w:t xml:space="preserve">у рамках реалізації Комплексної Програми підвищення конкурентоспроможності Чернігівської області на 2021-2027 роки «Чернігівщина конкурентоспроможна». </w:t>
      </w:r>
      <w:r/>
    </w:p>
    <w:p>
      <w:pPr>
        <w:numPr>
          <w:ilvl w:val="0"/>
          <w:numId w:val="1"/>
        </w:numPr>
        <w:contextualSpacing/>
        <w:ind w:left="0" w:firstLine="426"/>
        <w:jc w:val="both"/>
        <w:spacing w:after="0" w:line="240" w:lineRule="auto"/>
        <w:tabs>
          <w:tab w:val="left" w:pos="426" w:leader="none"/>
          <w:tab w:val="left" w:pos="851" w:leader="none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Метою часткового відшкодування є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підтримка місцевих товаровиробників, сприяння виробництву високоякісних та конкурентоспро</w:t>
      </w:r>
      <w:r>
        <w:rPr>
          <w:rFonts w:ascii="Times New Roman" w:hAnsi="Times New Roman" w:eastAsia="Times New Roman"/>
          <w:sz w:val="28"/>
          <w:szCs w:val="20"/>
          <w:lang w:val="uk-UA" w:eastAsia="ru-RU"/>
        </w:rPr>
        <w:t xml:space="preserve">можних товарів (продукції) місцевого виробництва.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/>
    </w:p>
    <w:p>
      <w:pPr>
        <w:numPr>
          <w:ilvl w:val="0"/>
          <w:numId w:val="1"/>
        </w:numPr>
        <w:contextualSpacing/>
        <w:ind w:left="0" w:firstLine="426"/>
        <w:jc w:val="both"/>
        <w:spacing w:after="0" w:line="240" w:lineRule="auto"/>
        <w:tabs>
          <w:tab w:val="left" w:pos="426" w:leader="none"/>
          <w:tab w:val="left" w:pos="851" w:leader="none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Часткове відшкодування надається підприємству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/>
          <w:sz w:val="28"/>
          <w:szCs w:val="28"/>
          <w:lang w:val="uk-UA"/>
        </w:rPr>
        <w:t xml:space="preserve"> як фінансова підтримка на безповоротній основі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/>
          <w:sz w:val="28"/>
          <w:szCs w:val="28"/>
          <w:lang w:val="uk-UA"/>
        </w:rPr>
        <w:t xml:space="preserve"> один раз на відповідний календарний рік.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Часткове відшкодування юридичним особам Чернігівської області є незначною державною допомогою (відповідно до пункту 9, частини першої статті 1 Закону України «Про державну допомогу суб’єктам господарювання»).</w:t>
      </w:r>
      <w:r/>
    </w:p>
    <w:p>
      <w:pPr>
        <w:pStyle w:val="633"/>
        <w:numPr>
          <w:ilvl w:val="0"/>
          <w:numId w:val="1"/>
        </w:numPr>
        <w:ind w:left="0" w:firstLine="426"/>
        <w:jc w:val="both"/>
        <w:spacing w:after="0" w:line="240" w:lineRule="auto"/>
        <w:shd w:val="clear" w:color="auto" w:fill="ffffff"/>
        <w:rPr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Головним розпорядником коштів обласного бюджету Програми з надання часткового відшкодування є Департамент економічного розвитку Чернігівської обласної державної адміністрації (далі – головний розпорядник коштів).</w:t>
      </w:r>
      <w:r/>
    </w:p>
    <w:p>
      <w:pPr>
        <w:pStyle w:val="633"/>
        <w:numPr>
          <w:ilvl w:val="0"/>
          <w:numId w:val="1"/>
        </w:numPr>
        <w:ind w:left="0" w:firstLine="426"/>
        <w:jc w:val="both"/>
        <w:spacing w:after="0" w:line="240" w:lineRule="auto"/>
        <w:shd w:val="clear" w:color="auto" w:fill="ffffff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Часткове відшкодування здійснюється через Державну організацію «Регіональний фонд підтримки підприємництва по Чернігівській області» (далі – одержувач).</w:t>
      </w:r>
      <w:r/>
    </w:p>
    <w:p>
      <w:pPr>
        <w:pStyle w:val="633"/>
        <w:numPr>
          <w:ilvl w:val="0"/>
          <w:numId w:val="1"/>
        </w:numPr>
        <w:ind w:left="0" w:firstLine="426"/>
        <w:jc w:val="both"/>
        <w:spacing w:after="0" w:line="240" w:lineRule="auto"/>
        <w:shd w:val="clear" w:color="auto" w:fill="ffffff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Часткове відшкодування здійснюється в межах бюджетних призначень на відповідний бюджетний рік.</w:t>
      </w:r>
      <w:r/>
    </w:p>
    <w:p>
      <w:pPr>
        <w:pStyle w:val="633"/>
        <w:numPr>
          <w:ilvl w:val="0"/>
          <w:numId w:val="1"/>
        </w:numPr>
        <w:ind w:left="0" w:firstLine="426"/>
        <w:jc w:val="both"/>
        <w:spacing w:after="0" w:line="240" w:lineRule="auto"/>
        <w:shd w:val="clear" w:color="auto" w:fill="ffffff"/>
        <w:tabs>
          <w:tab w:val="left" w:pos="426" w:leader="none"/>
        </w:tabs>
        <w:rPr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 часткове відшкодування підпадають фактичні </w:t>
      </w:r>
      <w:bookmarkStart w:id="0" w:name="__DdeLink__745_3023736684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витрати підприємства, п</w:t>
      </w:r>
      <w:r>
        <w:rPr>
          <w:rFonts w:ascii="Times New Roman" w:hAnsi="Times New Roman"/>
          <w:sz w:val="28"/>
          <w:szCs w:val="28"/>
          <w:lang w:val="uk-UA"/>
        </w:rPr>
        <w:t xml:space="preserve">ов’язані з проведенням робіт з сертифікації продукції, систем управління та/або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оцінки відповідності продукції,</w:t>
      </w:r>
      <w:bookmarkEnd w:id="0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що виконані органами з сертифікації / оцінки відповідності,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ru-RU"/>
        </w:rPr>
        <w:t xml:space="preserve">акредитованими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Національним агентством з акредитації України (НААУ) та національними агентствами з акредитації інших держав, що мають з НААУ угоди про взаємне визнання робіт з сертифікації (в рамках співробітництва з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Міжнародним форумом з акредитації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(I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FA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) та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Європейською кооперацією з акредитації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EA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)) (далі — органи з сертифікації).</w:t>
      </w:r>
      <w:r/>
    </w:p>
    <w:p>
      <w:pPr>
        <w:pStyle w:val="633"/>
        <w:numPr>
          <w:ilvl w:val="0"/>
          <w:numId w:val="1"/>
        </w:numPr>
        <w:ind w:left="0" w:firstLine="426"/>
        <w:jc w:val="both"/>
        <w:spacing w:after="0" w:line="240" w:lineRule="auto"/>
        <w:shd w:val="clear" w:color="auto" w:fill="ffffff"/>
        <w:tabs>
          <w:tab w:val="left" w:pos="426" w:leader="none"/>
        </w:tabs>
        <w:rPr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Часткове відшкодування здійснюється у національній валюті України у розмірі 30 % від фактичних витрат, але в обсягах не більше 50,0 тис. грн. </w:t>
      </w:r>
      <w:r>
        <w:rPr>
          <w:rFonts w:ascii="Times New Roman" w:hAnsi="Times New Roman"/>
          <w:sz w:val="28"/>
          <w:szCs w:val="28"/>
          <w:lang w:val="uk-UA"/>
        </w:rPr>
        <w:t xml:space="preserve">одному підприємству.</w:t>
      </w:r>
      <w:r/>
    </w:p>
    <w:p>
      <w:pPr>
        <w:pStyle w:val="633"/>
        <w:numPr>
          <w:ilvl w:val="0"/>
          <w:numId w:val="1"/>
        </w:numPr>
        <w:ind w:left="0" w:firstLine="426"/>
        <w:jc w:val="both"/>
        <w:spacing w:after="0" w:line="240" w:lineRule="auto"/>
        <w:shd w:val="clear" w:color="auto" w:fill="ffffff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У разі, якщо витрати були здійснені в іноземній валюті, сума часткового відшкодування обраховується 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за офіційним валютним (обмінним) курсом, встановленим Національним банком України, що діяв на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дату подання заяви з повним пакетом документів.</w:t>
      </w:r>
      <w:r/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jc w:val="center"/>
        <w:spacing w:after="0" w:line="240" w:lineRule="auto"/>
        <w:shd w:val="clear" w:color="auto" w:fill="ffffff"/>
        <w:tabs>
          <w:tab w:val="left" w:pos="710" w:leader="none"/>
        </w:tabs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  <w:t xml:space="preserve">Умови надання часткового відшкодування</w:t>
      </w:r>
      <w:r/>
    </w:p>
    <w:p>
      <w:pPr>
        <w:pStyle w:val="633"/>
        <w:ind w:left="786"/>
        <w:jc w:val="center"/>
        <w:spacing w:after="0" w:line="240" w:lineRule="auto"/>
        <w:shd w:val="clear" w:color="auto" w:fill="ffffff"/>
        <w:tabs>
          <w:tab w:val="left" w:pos="71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pStyle w:val="633"/>
        <w:numPr>
          <w:ilvl w:val="0"/>
          <w:numId w:val="1"/>
        </w:numPr>
        <w:ind w:left="0" w:firstLine="426"/>
        <w:jc w:val="both"/>
        <w:spacing w:after="0" w:line="240" w:lineRule="auto"/>
        <w:shd w:val="clear" w:color="auto" w:fill="ffffff"/>
        <w:tabs>
          <w:tab w:val="left" w:pos="0" w:leader="none"/>
          <w:tab w:val="left" w:pos="426" w:leader="none"/>
        </w:tabs>
        <w:rPr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Часткове відшкодування здійснюється на підставі рішення комісії з питань часткового відшкодування витрат підприємств </w:t>
      </w:r>
      <w:r>
        <w:rPr>
          <w:rFonts w:ascii="Times New Roman" w:hAnsi="Times New Roman"/>
          <w:sz w:val="28"/>
          <w:lang w:val="uk-UA"/>
        </w:rPr>
        <w:t xml:space="preserve">пов’язаних з проведенням робіт </w:t>
      </w:r>
      <w:r>
        <w:rPr>
          <w:rFonts w:ascii="Times New Roman" w:hAnsi="Times New Roman"/>
          <w:sz w:val="28"/>
          <w:szCs w:val="28"/>
          <w:lang w:val="uk-UA"/>
        </w:rPr>
        <w:t xml:space="preserve">з сертифікації продукції,  систем управління та/або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оцінки відповідності продукції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(далі – Комісія)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/>
    </w:p>
    <w:p>
      <w:pPr>
        <w:pStyle w:val="633"/>
        <w:numPr>
          <w:ilvl w:val="0"/>
          <w:numId w:val="1"/>
        </w:numPr>
        <w:ind w:left="0" w:firstLine="426"/>
        <w:jc w:val="both"/>
        <w:spacing w:after="0" w:line="240" w:lineRule="auto"/>
        <w:shd w:val="clear" w:color="auto" w:fill="ffffff"/>
        <w:tabs>
          <w:tab w:val="left" w:pos="0" w:leader="none"/>
          <w:tab w:val="left" w:pos="426" w:leader="none"/>
        </w:tabs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Створення та затвердження складу Комісії покладається на Департамент економічного розвитку обласної державної адміністрації.</w:t>
      </w:r>
      <w:r/>
    </w:p>
    <w:p>
      <w:pPr>
        <w:pStyle w:val="633"/>
        <w:numPr>
          <w:ilvl w:val="0"/>
          <w:numId w:val="1"/>
        </w:numPr>
        <w:ind w:left="0" w:firstLine="426"/>
        <w:jc w:val="both"/>
        <w:spacing w:after="0" w:line="240" w:lineRule="auto"/>
        <w:shd w:val="clear" w:color="auto" w:fill="ffffff"/>
        <w:tabs>
          <w:tab w:val="left" w:pos="0" w:leader="none"/>
          <w:tab w:val="left" w:pos="426" w:leader="none"/>
        </w:tabs>
        <w:rPr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Головою Комісії є заступник голови обласної державної адміністрації, згідн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о з розподілом обов’язків. Заступником голови Комісії є директор Департаменту економічного розвитку обласної державної адміністрації. До складу Комісії можуть включатись представники структурних підрозділів обласної державної адміністрації, територіальних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органів центральних органів виконавчої влади,  Державної організації «Регіональний фонд підтримки підприємництва по Чернігівській області»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(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далі – Фонд)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ДП « Чернігівський науково-виробничий центр стандартизації, метрології та сертифікації,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Агенції регіонального розвитку Чернігівської області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та інших суб’єктів.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Секретарем Комісії є генеральний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директор Фонду.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/>
    </w:p>
    <w:p>
      <w:pPr>
        <w:pStyle w:val="633"/>
        <w:numPr>
          <w:ilvl w:val="0"/>
          <w:numId w:val="1"/>
        </w:numPr>
        <w:ind w:left="0" w:firstLine="426"/>
        <w:jc w:val="both"/>
        <w:spacing w:after="0" w:line="240" w:lineRule="auto"/>
        <w:shd w:val="clear" w:color="auto" w:fill="ffffff"/>
        <w:tabs>
          <w:tab w:val="left" w:pos="0" w:leader="none"/>
          <w:tab w:val="left" w:pos="426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Засідання Комісії проводяться по мірі надходження від підприємств заяв з пакетом документів на отримання часткового відшкодування.</w:t>
      </w:r>
      <w:r/>
    </w:p>
    <w:p>
      <w:pPr>
        <w:pStyle w:val="633"/>
        <w:numPr>
          <w:ilvl w:val="0"/>
          <w:numId w:val="1"/>
        </w:numPr>
        <w:jc w:val="both"/>
        <w:spacing w:after="0" w:line="240" w:lineRule="auto"/>
        <w:shd w:val="clear" w:color="auto" w:fill="ffffff"/>
        <w:tabs>
          <w:tab w:val="left" w:pos="71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На отримання часткового відшкодування мають право підприємства, які:</w:t>
      </w:r>
      <w:r/>
    </w:p>
    <w:p>
      <w:pPr>
        <w:pStyle w:val="633"/>
        <w:numPr>
          <w:ilvl w:val="0"/>
          <w:numId w:val="4"/>
        </w:numPr>
        <w:ind w:left="0" w:firstLine="56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є резидентами України, за винятком випадків, передбачених міжнародними договорами України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та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зареєстрован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і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у податкових органах Чернігівської області;</w:t>
      </w:r>
      <w:r/>
    </w:p>
    <w:p>
      <w:pPr>
        <w:pStyle w:val="633"/>
        <w:ind w:left="0"/>
        <w:jc w:val="both"/>
        <w:spacing w:after="0" w:line="240" w:lineRule="auto"/>
        <w:shd w:val="clear" w:color="auto" w:fill="ffffff"/>
        <w:tabs>
          <w:tab w:val="left" w:pos="426" w:leader="none"/>
          <w:tab w:val="left" w:pos="567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        2)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не ма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ють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серед власників (засновників, учасників) фізичних осіб з громадянством російської федерації та/або республіки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білорусь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; юридичних осіб, зареєстрованих в цих країнах, а також серед кінцевих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бенефіціарних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власників - фізичних осіб з громадянством російської федерації та/або республіки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білорусь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</w:t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/>
          <w:sz w:val="28"/>
          <w:szCs w:val="28"/>
          <w:lang w:val="uk-UA"/>
        </w:rPr>
        <w:t xml:space="preserve">) не є кредитними організаціями, страховими організаціями, інвестиційними фондами, недержавними пенсійними фондами, професійними учасниками ринку цінних паперів, ломбардами;</w:t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/>
          <w:sz w:val="28"/>
          <w:szCs w:val="28"/>
          <w:lang w:val="uk-UA"/>
        </w:rPr>
        <w:t xml:space="preserve">) не здійснюють виробництво та/або реалізацію зброї, алкогольних напоїв, тютюнових виробів, обмін валют;</w:t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/>
          <w:sz w:val="28"/>
          <w:szCs w:val="28"/>
          <w:lang w:val="uk-UA"/>
        </w:rPr>
        <w:t xml:space="preserve">) не здійснюють надання в оренду нерухомого майна, що є одним з основних видів діяльності;</w:t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/>
          <w:sz w:val="28"/>
          <w:szCs w:val="28"/>
          <w:lang w:val="uk-UA"/>
        </w:rPr>
        <w:t xml:space="preserve">) не визнані банкрутами та/або стосовно яких не порушено справу про банкрутство, та/або які не перебувають </w:t>
      </w:r>
      <w:r>
        <w:rPr>
          <w:rFonts w:ascii="Times New Roman" w:hAnsi="Times New Roman"/>
          <w:sz w:val="28"/>
          <w:szCs w:val="28"/>
          <w:lang w:val="uk-UA"/>
        </w:rPr>
        <w:t xml:space="preserve">в стані</w:t>
      </w:r>
      <w:r>
        <w:rPr>
          <w:rFonts w:ascii="Times New Roman" w:hAnsi="Times New Roman"/>
          <w:sz w:val="28"/>
          <w:szCs w:val="28"/>
          <w:lang w:val="uk-UA"/>
        </w:rPr>
        <w:t xml:space="preserve"> припинення юридичної особи;</w:t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lang w:val="uk-UA"/>
        </w:rPr>
        <w:t xml:space="preserve">7</w:t>
      </w:r>
      <w:r>
        <w:rPr>
          <w:rFonts w:ascii="Times New Roman" w:hAnsi="Times New Roman"/>
          <w:sz w:val="28"/>
          <w:szCs w:val="28"/>
          <w:lang w:val="uk-UA"/>
        </w:rPr>
        <w:t xml:space="preserve">) не мають заборгованість із виплати заробітної плати та сплати податків, зборів, інших обов’язкових платежів;</w:t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lang w:val="uk-UA"/>
        </w:rPr>
        <w:t xml:space="preserve">8</w:t>
      </w:r>
      <w:r>
        <w:rPr>
          <w:rFonts w:ascii="Times New Roman" w:hAnsi="Times New Roman"/>
          <w:sz w:val="28"/>
          <w:szCs w:val="28"/>
          <w:lang w:val="uk-UA"/>
        </w:rPr>
        <w:t xml:space="preserve">) не отримували іншу державну підтримку з порушенням умов її надання або умов щодо цільового використання бюджетних коштів, що доведено в установленому порядку;</w:t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 xml:space="preserve">р</w:t>
      </w:r>
      <w:r>
        <w:rPr>
          <w:rFonts w:ascii="Times New Roman" w:hAnsi="Times New Roman"/>
          <w:sz w:val="28"/>
          <w:szCs w:val="28"/>
          <w:lang w:val="uk-UA"/>
        </w:rPr>
        <w:t xml:space="preserve">івень середньомісячної заробітної плати працівників на дату подання заяви перевищує 1,5 розміру мінімальної заробітної плати, встановленої Законом України Про державний бюджет на відповідний рік.</w:t>
      </w:r>
      <w:r/>
    </w:p>
    <w:p>
      <w:pPr>
        <w:numPr>
          <w:ilvl w:val="0"/>
          <w:numId w:val="1"/>
        </w:numPr>
        <w:contextualSpacing/>
        <w:ind w:left="0" w:firstLine="623"/>
        <w:jc w:val="both"/>
        <w:spacing w:after="0" w:line="240" w:lineRule="auto"/>
        <w:tabs>
          <w:tab w:val="left" w:pos="426" w:leader="none"/>
          <w:tab w:val="left" w:pos="851" w:leader="none"/>
        </w:tabs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Для отримання часткового відшкодування підприємство за фактом </w:t>
      </w:r>
      <w:r>
        <w:rPr>
          <w:rFonts w:ascii="Times New Roman" w:hAnsi="Times New Roman"/>
          <w:sz w:val="28"/>
          <w:szCs w:val="28"/>
          <w:lang w:val="uk-UA"/>
        </w:rPr>
        <w:t xml:space="preserve">проведенням робіт з сертифікації продукції, систем управління та/або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ru-RU"/>
        </w:rPr>
        <w:t xml:space="preserve">оцінки відповідності продукції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протягом 30 (тридцяти) календарних днів подає головному розпоряднику коштів такі документи:</w:t>
      </w:r>
      <w:r/>
    </w:p>
    <w:p>
      <w:pPr>
        <w:ind w:left="851"/>
        <w:jc w:val="both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письмову заяву</w:t>
      </w:r>
      <w:r>
        <w:rPr>
          <w:rFonts w:ascii="Times New Roman" w:hAnsi="Times New Roman"/>
          <w:sz w:val="28"/>
          <w:szCs w:val="28"/>
          <w:lang w:val="uk-UA"/>
        </w:rPr>
        <w:t xml:space="preserve"> та інформаційний лист </w:t>
      </w:r>
      <w:r>
        <w:rPr>
          <w:rFonts w:ascii="Times New Roman" w:hAnsi="Times New Roman" w:eastAsia="Times New Roman"/>
          <w:bCs/>
          <w:sz w:val="28"/>
          <w:szCs w:val="28"/>
          <w:lang w:val="uk-UA" w:eastAsia="ru-RU"/>
        </w:rPr>
        <w:t xml:space="preserve">до заяви на отримання часткового відшкодування витрат підприємства,</w:t>
      </w:r>
      <w:r>
        <w:rPr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пов’язаних з проведенням робіт з сертифікації виробленої продукції, систем управління та/або оцінки відповідності продукції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за форм</w:t>
      </w:r>
      <w:r>
        <w:rPr>
          <w:rFonts w:ascii="Times New Roman" w:hAnsi="Times New Roman"/>
          <w:sz w:val="28"/>
          <w:szCs w:val="28"/>
          <w:lang w:val="uk-UA"/>
        </w:rPr>
        <w:t xml:space="preserve">ами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згідно з додатками1 та 2</w:t>
      </w:r>
      <w:r>
        <w:rPr>
          <w:rFonts w:ascii="Times New Roman" w:hAnsi="Times New Roman"/>
          <w:sz w:val="28"/>
          <w:szCs w:val="28"/>
          <w:lang w:val="uk-UA"/>
        </w:rPr>
        <w:t xml:space="preserve">;</w:t>
      </w:r>
      <w:r/>
    </w:p>
    <w:p>
      <w:pPr>
        <w:pStyle w:val="633"/>
        <w:ind w:left="786"/>
        <w:jc w:val="both"/>
        <w:spacing w:after="0" w:line="240" w:lineRule="auto"/>
        <w:tabs>
          <w:tab w:val="left" w:pos="1134" w:leader="none"/>
        </w:tabs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копії документів про відповідність (сертифікатів) (копія повинна бути відтворена з оригіналу та завірена керівником підприємства);</w:t>
      </w:r>
      <w:r/>
    </w:p>
    <w:p>
      <w:pPr>
        <w:pStyle w:val="633"/>
        <w:ind w:left="786"/>
        <w:jc w:val="both"/>
        <w:spacing w:after="0" w:line="240" w:lineRule="auto"/>
        <w:tabs>
          <w:tab w:val="left" w:pos="1134" w:leader="none"/>
        </w:tabs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копії договорів з органами сертифікації на виконання робіт з сертифікації, продукції, систем управління та/або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ru-RU"/>
        </w:rPr>
        <w:t xml:space="preserve">оцінки відповідності продукції, </w:t>
      </w:r>
      <w:r>
        <w:rPr>
          <w:rFonts w:ascii="Times New Roman" w:hAnsi="Times New Roman"/>
          <w:sz w:val="28"/>
          <w:szCs w:val="28"/>
          <w:lang w:val="uk-UA"/>
        </w:rPr>
        <w:t xml:space="preserve">платіжних  документів, що підтверджують фактичну оплату понесених витрат (копія повинна бути відтворена з оригіналу та завірена підписом керівника підприємства), копію акту виконаних робіт (завірену підписом керівника підприємства);</w:t>
      </w:r>
      <w:r/>
    </w:p>
    <w:p>
      <w:pPr>
        <w:pStyle w:val="633"/>
        <w:ind w:left="786"/>
        <w:jc w:val="both"/>
        <w:spacing w:after="0" w:line="240" w:lineRule="auto"/>
        <w:tabs>
          <w:tab w:val="left" w:pos="1134" w:leader="none"/>
        </w:tabs>
      </w:pPr>
      <w:r>
        <w:rPr>
          <w:rFonts w:ascii="Times New Roman" w:hAnsi="Times New Roman"/>
          <w:sz w:val="28"/>
          <w:szCs w:val="28"/>
          <w:lang w:val="uk-UA"/>
        </w:rPr>
        <w:t xml:space="preserve">4)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довідку з місцевих органів фіскальної служби про відсутність заборгованості зі сплати податків та зборів до бюджету;</w:t>
      </w:r>
      <w:r/>
    </w:p>
    <w:p>
      <w:pPr>
        <w:pStyle w:val="633"/>
        <w:ind w:left="786"/>
        <w:jc w:val="both"/>
        <w:spacing w:after="0" w:line="240" w:lineRule="auto"/>
        <w:tabs>
          <w:tab w:val="left" w:pos="1134" w:leader="none"/>
        </w:tabs>
      </w:pPr>
      <w:r>
        <w:rPr>
          <w:rFonts w:ascii="Times New Roman" w:hAnsi="Times New Roman"/>
          <w:sz w:val="28"/>
          <w:szCs w:val="28"/>
          <w:lang w:val="uk-UA"/>
        </w:rPr>
        <w:t xml:space="preserve">5) копію  статистичної  звітності  –  Форма  №1-ПВ  «Звіт  з  праці»  за </w:t>
      </w:r>
      <w:r>
        <w:rPr>
          <w:rFonts w:ascii="Times New Roman" w:hAnsi="Times New Roman"/>
          <w:sz w:val="28"/>
          <w:szCs w:val="28"/>
          <w:lang w:val="uk-UA"/>
        </w:rPr>
        <w:t xml:space="preserve">попередній звітний період;</w:t>
      </w:r>
      <w:r/>
    </w:p>
    <w:p>
      <w:pPr>
        <w:pStyle w:val="633"/>
        <w:ind w:left="786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lang w:val="uk-UA"/>
        </w:rPr>
        <w:t xml:space="preserve">6) копію звіту про фінансовий стан (Баланс), звіт про сукупний дохід (Звіт про фінансові результати) підприємства за звітний період;</w:t>
      </w:r>
      <w:r/>
    </w:p>
    <w:p>
      <w:pPr>
        <w:pStyle w:val="633"/>
        <w:ind w:left="786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lang w:val="uk-UA"/>
        </w:rPr>
        <w:t xml:space="preserve">7) довідку про банківські реквізити рахунку, на який здійснюватиметься перерахування суми коштів на часткове відшкодування</w:t>
      </w:r>
      <w:r>
        <w:rPr>
          <w:rFonts w:ascii="Times New Roman" w:hAnsi="Times New Roman"/>
          <w:sz w:val="28"/>
          <w:szCs w:val="28"/>
          <w:lang w:val="uk-UA"/>
        </w:rPr>
        <w:t xml:space="preserve">, затверджену підписом керівника та печаткою підприємства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Документи, подані підприємством для отримання часткового відшкодування, мають бути пронумеровані, прошнуровані та підписані керівником із зазначенням кількості сторінок словами і цифрами.</w:t>
      </w:r>
      <w:r/>
    </w:p>
    <w:p>
      <w:pPr>
        <w:pStyle w:val="633"/>
        <w:ind w:left="0" w:firstLine="786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uk-UA" w:eastAsia="ru-RU"/>
        </w:rPr>
        <w:t xml:space="preserve">16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 </w:t>
      </w:r>
      <w:r>
        <w:rPr>
          <w:rFonts w:ascii="Times New Roman" w:hAnsi="Times New Roman" w:eastAsia="Times New Roman"/>
          <w:sz w:val="28"/>
          <w:szCs w:val="20"/>
          <w:lang w:val="uk-UA" w:eastAsia="ru-RU"/>
        </w:rPr>
        <w:t xml:space="preserve">Супровідний лист та з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аява з повним пакетом документів на отримання часткового відшкодування реєструються головним розпорядником коштів через систему електронного документообігу. 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uk-UA" w:eastAsia="ru-RU"/>
        </w:rPr>
        <w:t xml:space="preserve">17.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 У разі подання неповного пакету документів головний розпорядник коштів повертає їх підприємству без розгляду Комісією протягом 5 (п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’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яти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) робочих днів з дня отримання. 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uk-UA" w:eastAsia="ru-RU"/>
        </w:rPr>
        <w:t xml:space="preserve">18.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 Матеріали для розгляду на засіданні Комісії готує головний розпорядник коштів.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uk-UA" w:eastAsia="ru-RU"/>
        </w:rPr>
        <w:t xml:space="preserve">19.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 Комісія упродовж місяця з моменту подачі документів розглядає повний пакет документів та приймає рішення про надання або відмову у наданні часткового відшкодування. 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uk-UA" w:eastAsia="ru-RU"/>
        </w:rPr>
        <w:t xml:space="preserve">20.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У разі прийняття рішення про надання часткового відшкодування в Протоколі повинна бути вказана інформація про найменування юридичної особи та розмір часткового відшкодування.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lang w:val="uk-UA"/>
        </w:rPr>
      </w:pPr>
      <w:r>
        <w:rPr>
          <w:rFonts w:ascii="Times New Roman" w:hAnsi="Times New Roman" w:eastAsia="Times New Roman"/>
          <w:b/>
          <w:bCs/>
          <w:spacing w:val="-8"/>
          <w:sz w:val="28"/>
          <w:szCs w:val="28"/>
          <w:lang w:val="uk-UA" w:eastAsia="ru-RU"/>
        </w:rPr>
        <w:t xml:space="preserve">21.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Підставою для відмови у наданні часткового відшкодування є невідповідність умовам надання Часткового відшкодування, визначеним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br/>
        <w:t xml:space="preserve">п. 16 цього Порядку, та/або відсутність бюджетних призначень для реалізації відповідного заходу Програми на дату звернення підприємства.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 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bCs/>
          <w:spacing w:val="-8"/>
          <w:sz w:val="28"/>
          <w:szCs w:val="28"/>
          <w:lang w:val="uk-UA" w:eastAsia="ru-RU"/>
        </w:rPr>
        <w:t xml:space="preserve">22.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У разі прийняття рішення про відмову у наданні часткового відшкодування, у протоколі повинна бути вказана підстава, визначена цим Порядком. 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lang w:val="uk-UA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uk-UA" w:eastAsia="ru-RU"/>
        </w:rPr>
        <w:t xml:space="preserve">23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Секретар комісії протягом п’яти робочих днів з дати прийняття рішення про надання Часткового відшкодування або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відмову у наданні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 надсилає 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п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ідприємству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 засвідчений належним чином витяг з Протоколу.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jc w:val="center"/>
        <w:spacing w:after="0" w:line="240" w:lineRule="auto"/>
        <w:shd w:val="clear" w:color="auto" w:fill="ffffff"/>
        <w:tabs>
          <w:tab w:val="left" w:pos="710" w:leader="none"/>
        </w:tabs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  <w:t xml:space="preserve">Порядок надання часткового відшкодування</w:t>
      </w:r>
      <w:r/>
    </w:p>
    <w:p>
      <w:pPr>
        <w:jc w:val="center"/>
        <w:spacing w:after="0" w:line="240" w:lineRule="auto"/>
        <w:shd w:val="clear" w:color="auto" w:fill="ffffff"/>
        <w:tabs>
          <w:tab w:val="left" w:pos="710" w:leader="none"/>
        </w:tabs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710" w:leader="none"/>
        </w:tabs>
        <w:rPr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/>
          <w:b/>
          <w:bCs/>
          <w:sz w:val="28"/>
          <w:szCs w:val="28"/>
          <w:lang w:val="uk-UA" w:eastAsia="ru-RU"/>
        </w:rPr>
        <w:t xml:space="preserve">24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 Засідання Комісії веде голова Комісії, або у разі його відсутності- заступник голови Комісії або у разі їх відсутності — головуючий, що обирається з числа членів Комісії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простою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більшістю голосів. </w:t>
      </w:r>
      <w:r/>
    </w:p>
    <w:p>
      <w:pPr>
        <w:jc w:val="both"/>
        <w:spacing w:after="0" w:line="240" w:lineRule="auto"/>
        <w:shd w:val="clear" w:color="auto" w:fill="ffffff"/>
        <w:tabs>
          <w:tab w:val="left" w:pos="0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/>
          <w:b/>
          <w:bCs/>
          <w:sz w:val="28"/>
          <w:szCs w:val="28"/>
          <w:lang w:val="uk-UA" w:eastAsia="ru-RU"/>
        </w:rPr>
        <w:t xml:space="preserve">25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 Засідання Комісії є правомочним, якщо на ньому присутні більше половини членів Комісії.</w:t>
      </w:r>
      <w:r/>
    </w:p>
    <w:p>
      <w:pPr>
        <w:ind w:firstLine="709"/>
        <w:spacing w:after="0" w:line="240" w:lineRule="auto"/>
        <w:shd w:val="clear" w:color="auto" w:fill="ffffff"/>
        <w:tabs>
          <w:tab w:val="left" w:pos="710" w:leader="none"/>
        </w:tabs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uk-UA" w:eastAsia="ru-RU"/>
        </w:rPr>
        <w:t xml:space="preserve">26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 Секретар Комісії приймає участь у її засіданнях без права голосу.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uk-UA" w:eastAsia="ru-RU"/>
        </w:rPr>
        <w:t xml:space="preserve">27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 Комісія, за результатами опрацювання поданих матеріалів, приймає рішення щодо надання або відмови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у наданні часткового відшкодування шляхом голосування простою більшістю голосів. У разі рівного розподілу голосів вирішальним є голос голови Комісії, а за його відсутності – заступник голови комісії, у разі їх відсутності вирішальним є голос головуючого. 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uk-UA" w:eastAsia="ru-RU"/>
        </w:rPr>
        <w:t xml:space="preserve">28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 Засідання Комісії проводяться по мірі надходження від підприємств заяв з доданими документами на отримання часткового відшкодування. Голова Комісії визначає дату засідання.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uk-UA" w:eastAsia="ru-RU"/>
        </w:rPr>
        <w:t xml:space="preserve">29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 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Рішення Комісії оформлюється протоколом, який підписується головою Комісії, або у разі його відсутності - заступником, або у разі їх відсутності – головуючим та всіма членами Комісії, які брали участь у голосуванні (далі – Протокол).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uk-UA" w:eastAsia="ru-RU"/>
        </w:rPr>
        <w:t xml:space="preserve">30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 Засвідчені копії протоколів надаються головному розпоряднику коштів для підготовки заявки на фінансування Департаменту фінансів Чернігівської обласної державної адміністрації. 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uk-UA" w:eastAsia="ru-RU"/>
        </w:rPr>
        <w:t xml:space="preserve">31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 Після отримання фінансування головний розпорядник коштів здійснює перерахування коштів обласного бюджету, виділених для часткового відшкодування, на реєстраційний рахунок одержувача.</w:t>
      </w:r>
      <w:r/>
    </w:p>
    <w:p>
      <w:pPr>
        <w:ind w:firstLine="720"/>
        <w:jc w:val="both"/>
        <w:spacing w:after="0" w:line="240" w:lineRule="auto"/>
        <w:rPr>
          <w:lang w:val="uk-UA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uk-UA" w:eastAsia="ru-RU"/>
        </w:rPr>
        <w:t xml:space="preserve">32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  На підставі протоколу одержувач готує реєстр для здійснення часткового відшкодування витрат підприємств, пов’язаних з проведенням робіт з  сертифікації виробленої ними продукції, систем упра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вління та/або оцінки відповідності продукції за формою згідно з додатком 3 до цього Порядку та подає його до Головного управління Державної казначейської служби України у Чернігівській області разом із завіреною копією протоколу та платіжними інструкціями.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pacing w:val="-6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uk-UA" w:eastAsia="ru-RU"/>
        </w:rPr>
        <w:t xml:space="preserve">33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 </w:t>
      </w:r>
      <w:r>
        <w:rPr>
          <w:rFonts w:ascii="Times New Roman" w:hAnsi="Times New Roman" w:eastAsia="Times New Roman"/>
          <w:spacing w:val="-6"/>
          <w:sz w:val="28"/>
          <w:szCs w:val="28"/>
          <w:lang w:val="uk-UA" w:eastAsia="ru-RU"/>
        </w:rPr>
        <w:t xml:space="preserve">Часткове відшкодування здійснюється одержувачем шляхом перерахування суми коштів в обсязі, затвердженому протоколом Комісії, на розрахунковий рахунок підприємства, вказаний в інформаційному листі до заяви.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pacing w:val="-6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bCs/>
          <w:spacing w:val="-6"/>
          <w:sz w:val="28"/>
          <w:szCs w:val="28"/>
          <w:lang w:val="uk-UA" w:eastAsia="ru-RU"/>
        </w:rPr>
        <w:t xml:space="preserve">34</w:t>
      </w:r>
      <w:r>
        <w:rPr>
          <w:rFonts w:ascii="Times New Roman" w:hAnsi="Times New Roman" w:eastAsia="Times New Roman"/>
          <w:spacing w:val="-6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Головний розпорядник коштів і одержувач звільняються від будь-якої відповідальності за порушення термінів перерахування часткового</w:t>
      </w:r>
      <w:r>
        <w:rPr>
          <w:rFonts w:ascii="Times New Roman" w:hAnsi="Times New Roman" w:eastAsia="Times New Roman"/>
          <w:spacing w:val="-8"/>
          <w:sz w:val="28"/>
          <w:szCs w:val="28"/>
          <w:lang w:val="uk-UA" w:eastAsia="ru-RU"/>
        </w:rPr>
        <w:t xml:space="preserve"> відшкодування згідно з Реєстром, якщо такі порушення викликані відсутністю бюджетного фінансування (затримкою у бюджетному фінансуванні) та/або несплатою виділених коштів Головним управлінням Державної казначейської служби України у Чернігівській області.</w:t>
      </w:r>
      <w:r/>
    </w:p>
    <w:p>
      <w:pPr>
        <w:contextualSpacing/>
        <w:jc w:val="both"/>
        <w:spacing w:after="0" w:line="240" w:lineRule="auto"/>
        <w:tabs>
          <w:tab w:val="left" w:pos="426" w:leader="none"/>
          <w:tab w:val="left" w:pos="709" w:leader="none"/>
        </w:tabs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/>
          <w:b/>
          <w:bCs/>
          <w:sz w:val="28"/>
          <w:szCs w:val="28"/>
          <w:lang w:val="uk-UA" w:eastAsia="ru-RU"/>
        </w:rPr>
        <w:t xml:space="preserve">35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 Підприємство несе відповідальність за достовірність поданої головному розпор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яднику коштів інформації згідно з чинним законодавством України. У разі виявлення недостовірної інформації кошти обласного бюджету в сумі часткового відшкодування підлягають поверненню підприємством на добровільній основі або стягуються в судовому порядку.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uk-UA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Директор Департаменту </w:t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економічного розвитку</w:t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/>
      <w:bookmarkStart w:id="1" w:name="_Hlk141107517"/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обласної державної адміністрації                                                   Олександра  ХОМИК</w:t>
      </w:r>
      <w:bookmarkEnd w:id="1"/>
      <w:r/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tbl>
      <w:tblPr>
        <w:tblStyle w:val="634"/>
        <w:tblW w:w="9214" w:type="dxa"/>
        <w:tblInd w:w="-175" w:type="dxa"/>
        <w:tblLook w:val="04A0" w:firstRow="1" w:lastRow="0" w:firstColumn="1" w:lastColumn="0" w:noHBand="0" w:noVBand="1"/>
      </w:tblPr>
      <w:tblGrid>
        <w:gridCol w:w="4253"/>
        <w:gridCol w:w="4961"/>
      </w:tblGrid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eastAsia="Times New Roman"/>
                <w:i/>
                <w:sz w:val="26"/>
                <w:szCs w:val="26"/>
                <w:lang w:val="uk-UA" w:eastAsia="ru-RU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0" w:type="dxa"/>
            <w:textDirection w:val="lrTb"/>
            <w:noWrap w:val="false"/>
          </w:tcPr>
          <w:p>
            <w:pPr>
              <w:ind w:left="-677" w:firstLine="746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Додаток 1</w:t>
            </w:r>
            <w:r/>
          </w:p>
          <w:p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ПОРЯДКУ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використання коштів  обласного бюджету для часткового відшкодування підприємствам області вартості витрат, пов’язаних з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проведенням робіт з сертифікації виробленої продукції, систем управління та/або оцінки відповідності продукції</w:t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lang w:val="uk-UA" w:eastAsia="ru-RU"/>
              </w:rPr>
            </w:r>
            <w:r/>
          </w:p>
        </w:tc>
      </w:tr>
    </w:tbl>
    <w:p>
      <w:pPr>
        <w:ind w:left="3458" w:firstLine="57"/>
        <w:jc w:val="both"/>
        <w:spacing w:after="0" w:line="240" w:lineRule="auto"/>
        <w:shd w:val="clear" w:color="auto" w:fill="ffffff"/>
        <w:tabs>
          <w:tab w:val="left" w:pos="3405" w:leader="none"/>
        </w:tabs>
        <w:rPr>
          <w:lang w:val="uk-UA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 xml:space="preserve">Голові Робочої групи 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 </w:t>
      </w:r>
      <w:r>
        <w:rPr>
          <w:rFonts w:ascii="Times New Roman" w:hAnsi="Times New Roman"/>
          <w:sz w:val="24"/>
          <w:szCs w:val="24"/>
          <w:lang w:val="uk-UA"/>
        </w:rPr>
        <w:t xml:space="preserve">часткового відшкодування підприємствам області вартості витрат, пов’язаних з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проведенням робіт з сертифікації виробленої продукції, систем управління та/або оцінки відповідності продукції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val="uk-UA" w:eastAsia="ru-RU"/>
        </w:rPr>
        <w:t xml:space="preserve">_____________________________________</w:t>
      </w:r>
      <w:r/>
    </w:p>
    <w:p>
      <w:pPr>
        <w:ind w:left="4860"/>
        <w:spacing w:after="0" w:line="240" w:lineRule="auto"/>
        <w:shd w:val="clear" w:color="auto" w:fill="ffffff"/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  <w:t xml:space="preserve">_______________________________</w:t>
      </w:r>
      <w:r/>
    </w:p>
    <w:p>
      <w:pPr>
        <w:ind w:left="4860"/>
        <w:spacing w:after="0" w:line="240" w:lineRule="auto"/>
        <w:shd w:val="clear" w:color="auto" w:fill="ffffff"/>
        <w:rPr>
          <w:rFonts w:ascii="Times New Roman" w:hAnsi="Times New Roman" w:eastAsia="Times New Roman"/>
          <w:b/>
          <w:sz w:val="20"/>
          <w:szCs w:val="20"/>
          <w:lang w:val="uk-UA" w:eastAsia="ru-RU"/>
        </w:rPr>
      </w:pPr>
      <w:r>
        <w:rPr>
          <w:rFonts w:ascii="Times New Roman" w:hAnsi="Times New Roman" w:eastAsia="Times New Roman"/>
          <w:b/>
          <w:lang w:val="uk-UA" w:eastAsia="ru-RU"/>
        </w:rPr>
        <w:t xml:space="preserve">    </w:t>
      </w:r>
      <w:r>
        <w:rPr>
          <w:rFonts w:ascii="Times New Roman" w:hAnsi="Times New Roman" w:eastAsia="Times New Roman"/>
          <w:b/>
          <w:sz w:val="20"/>
          <w:szCs w:val="20"/>
          <w:lang w:val="uk-UA" w:eastAsia="ru-RU"/>
        </w:rPr>
        <w:t xml:space="preserve">(повна назва підприємства, код ЄДРПОУ)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lang w:val="uk-UA" w:eastAsia="ru-RU"/>
        </w:rPr>
      </w:pPr>
      <w:r>
        <w:rPr>
          <w:rFonts w:ascii="Times New Roman" w:hAnsi="Times New Roman" w:eastAsia="Times New Roman"/>
          <w:lang w:val="uk-UA"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Заява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16"/>
          <w:szCs w:val="16"/>
          <w:lang w:val="uk-UA" w:eastAsia="ru-RU"/>
        </w:rPr>
      </w:pPr>
      <w:r>
        <w:rPr>
          <w:rFonts w:ascii="Times New Roman" w:hAnsi="Times New Roman" w:eastAsia="Times New Roman"/>
          <w:b/>
          <w:sz w:val="16"/>
          <w:szCs w:val="16"/>
          <w:lang w:val="uk-UA"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/>
          <w:sz w:val="26"/>
          <w:szCs w:val="26"/>
          <w:lang w:val="uk-UA" w:eastAsia="ru-RU"/>
        </w:rPr>
        <w:t xml:space="preserve">Прошу надати часткове відшкодування витрат на отримання</w:t>
      </w:r>
      <w:r>
        <w:rPr>
          <w:sz w:val="26"/>
          <w:szCs w:val="26"/>
          <w:lang w:val="uk-UA"/>
        </w:rPr>
        <w:t xml:space="preserve"> _______________________________________</w:t>
      </w:r>
      <w:r>
        <w:rPr>
          <w:rFonts w:ascii="Times New Roman" w:hAnsi="Times New Roman" w:eastAsia="Times New Roman"/>
          <w:sz w:val="26"/>
          <w:szCs w:val="26"/>
          <w:lang w:val="uk-UA" w:eastAsia="ru-RU"/>
        </w:rPr>
        <w:t xml:space="preserve">____________________________,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16"/>
          <w:szCs w:val="16"/>
          <w:lang w:val="uk-UA" w:eastAsia="ru-RU"/>
        </w:rPr>
      </w:pPr>
      <w:r>
        <w:rPr>
          <w:rFonts w:ascii="Times New Roman" w:hAnsi="Times New Roman" w:eastAsia="Times New Roman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(назва документу)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______________________________________________________________,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16"/>
          <w:szCs w:val="16"/>
          <w:lang w:val="uk-UA" w:eastAsia="ru-RU"/>
        </w:rPr>
      </w:pPr>
      <w:r>
        <w:rPr>
          <w:rFonts w:ascii="Times New Roman" w:hAnsi="Times New Roman" w:eastAsia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</w:t>
      </w:r>
      <w:r>
        <w:rPr>
          <w:rFonts w:ascii="Times New Roman" w:hAnsi="Times New Roman" w:eastAsia="Times New Roman"/>
          <w:sz w:val="16"/>
          <w:szCs w:val="16"/>
          <w:lang w:val="uk-UA" w:eastAsia="ru-RU"/>
        </w:rPr>
        <w:t xml:space="preserve">(назва документу)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виданого______________________________________________________,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16"/>
          <w:szCs w:val="16"/>
          <w:lang w:val="uk-UA" w:eastAsia="ru-RU"/>
        </w:rPr>
      </w:pPr>
      <w:r>
        <w:rPr>
          <w:rFonts w:ascii="Times New Roman" w:hAnsi="Times New Roman" w:eastAsia="Times New Roman"/>
          <w:sz w:val="20"/>
          <w:szCs w:val="20"/>
          <w:lang w:val="uk-UA" w:eastAsia="ru-RU"/>
        </w:rPr>
        <w:t xml:space="preserve">                                                                                           </w:t>
      </w:r>
      <w:r>
        <w:rPr>
          <w:rFonts w:ascii="Times New Roman" w:hAnsi="Times New Roman" w:eastAsia="Times New Roman"/>
          <w:sz w:val="16"/>
          <w:szCs w:val="16"/>
          <w:lang w:val="uk-UA" w:eastAsia="ru-RU"/>
        </w:rPr>
        <w:t xml:space="preserve">(назва органу сертифікації)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______________________________________________________________,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16"/>
          <w:szCs w:val="16"/>
          <w:lang w:val="uk-UA" w:eastAsia="ru-RU"/>
        </w:rPr>
      </w:pPr>
      <w:r>
        <w:rPr>
          <w:rFonts w:ascii="Times New Roman" w:hAnsi="Times New Roman" w:eastAsia="Times New Roman"/>
          <w:sz w:val="20"/>
          <w:szCs w:val="20"/>
          <w:lang w:val="uk-UA" w:eastAsia="ru-RU"/>
        </w:rPr>
        <w:t xml:space="preserve">                                                                                             </w:t>
      </w:r>
      <w:r>
        <w:rPr>
          <w:rFonts w:ascii="Times New Roman" w:hAnsi="Times New Roman" w:eastAsia="Times New Roman"/>
          <w:sz w:val="16"/>
          <w:szCs w:val="16"/>
          <w:lang w:val="uk-UA" w:eastAsia="ru-RU"/>
        </w:rPr>
        <w:t xml:space="preserve">(назва органу сертифікації)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______________________________________________________________,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16"/>
          <w:szCs w:val="16"/>
          <w:lang w:val="uk-UA" w:eastAsia="ru-RU"/>
        </w:rPr>
      </w:pPr>
      <w:r>
        <w:rPr>
          <w:rFonts w:ascii="Times New Roman" w:hAnsi="Times New Roman" w:eastAsia="Times New Roman"/>
          <w:sz w:val="20"/>
          <w:szCs w:val="20"/>
          <w:lang w:val="uk-UA" w:eastAsia="ru-RU"/>
        </w:rPr>
        <w:t xml:space="preserve">                                                                                         </w:t>
      </w:r>
      <w:r>
        <w:rPr>
          <w:rFonts w:ascii="Times New Roman" w:hAnsi="Times New Roman" w:eastAsia="Times New Roman"/>
          <w:sz w:val="16"/>
          <w:szCs w:val="16"/>
          <w:lang w:val="uk-UA" w:eastAsia="ru-RU"/>
        </w:rPr>
        <w:t xml:space="preserve">(повна адреса органу сертифікації)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36"/>
          <w:szCs w:val="36"/>
          <w:lang w:eastAsia="ru-RU"/>
        </w:rPr>
      </w:pPr>
      <w:r>
        <w:rPr>
          <w:rFonts w:ascii="Times New Roman" w:hAnsi="Times New Roman" w:eastAsia="Times New Roman"/>
          <w:sz w:val="36"/>
          <w:szCs w:val="36"/>
          <w:lang w:val="uk-UA" w:eastAsia="ru-RU"/>
        </w:rPr>
        <w:t xml:space="preserve">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16"/>
          <w:szCs w:val="16"/>
          <w:lang w:val="uk-UA" w:eastAsia="ru-RU"/>
        </w:rPr>
      </w:pPr>
      <w:r>
        <w:rPr>
          <w:rFonts w:ascii="Times New Roman" w:hAnsi="Times New Roman" w:eastAsia="Times New Roman"/>
          <w:sz w:val="16"/>
          <w:szCs w:val="16"/>
          <w:lang w:val="uk-UA" w:eastAsia="ru-RU"/>
        </w:rPr>
        <w:t xml:space="preserve">                                                                 (дата видачі)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16"/>
          <w:szCs w:val="16"/>
          <w:lang w:val="uk-UA" w:eastAsia="ru-RU"/>
        </w:rPr>
      </w:pPr>
      <w:r>
        <w:rPr>
          <w:rFonts w:ascii="Times New Roman" w:hAnsi="Times New Roman" w:eastAsia="Times New Roman"/>
          <w:sz w:val="16"/>
          <w:szCs w:val="16"/>
          <w:lang w:val="uk-UA"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ab/>
        <w:t xml:space="preserve">За отримання _________________________________________________ сплачено кошти згідно з договором органу сертифікації в сумі __________________________________________________________________ </w:t>
      </w:r>
      <w:r>
        <w:rPr>
          <w:rFonts w:ascii="Times New Roman" w:hAnsi="Times New Roman" w:eastAsia="Times New Roman"/>
          <w:sz w:val="16"/>
          <w:szCs w:val="16"/>
          <w:lang w:val="uk-UA" w:eastAsia="ru-RU"/>
        </w:rPr>
        <w:t xml:space="preserve">(у відповідній валюті). 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Подаючи цю заяву та документи до неї, засвідчую, що подані документи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є достовірними.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Додатки: на _____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арк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 у ____ примірнику.</w:t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ab/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_________________                         _________                          __________     </w:t>
      </w:r>
      <w:r/>
    </w:p>
    <w:p>
      <w:pPr>
        <w:spacing w:after="0" w:line="240" w:lineRule="auto"/>
        <w:rPr>
          <w:rFonts w:ascii="Times New Roman" w:hAnsi="Times New Roman" w:eastAsia="Times New Roman"/>
          <w:sz w:val="16"/>
          <w:szCs w:val="16"/>
          <w:lang w:val="uk-UA" w:eastAsia="ru-RU"/>
        </w:rPr>
      </w:pPr>
      <w:r>
        <w:rPr>
          <w:rFonts w:ascii="Times New Roman" w:hAnsi="Times New Roman" w:eastAsia="Times New Roman"/>
          <w:sz w:val="16"/>
          <w:szCs w:val="16"/>
          <w:lang w:val="uk-UA" w:eastAsia="ru-RU"/>
        </w:rPr>
        <w:t xml:space="preserve">        (Посада керівника)                                                                       (Підпис)                                                                  (ПІБ)</w:t>
      </w:r>
      <w:r/>
    </w:p>
    <w:p>
      <w:pPr>
        <w:jc w:val="right"/>
        <w:spacing w:after="0" w:line="240" w:lineRule="auto"/>
        <w:rPr>
          <w:rFonts w:ascii="Times New Roman" w:hAnsi="Times New Roman" w:eastAsia="Times New Roman"/>
          <w:lang w:val="uk-UA" w:eastAsia="ru-RU"/>
        </w:rPr>
      </w:pPr>
      <w:r>
        <w:rPr>
          <w:rFonts w:ascii="Times New Roman" w:hAnsi="Times New Roman" w:eastAsia="Times New Roman"/>
          <w:lang w:val="uk-UA" w:eastAsia="ru-RU"/>
        </w:rPr>
        <w:t xml:space="preserve">              М.П.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/>
          <w:sz w:val="20"/>
          <w:szCs w:val="20"/>
          <w:lang w:val="uk-UA" w:eastAsia="ru-RU"/>
        </w:rPr>
        <w:t xml:space="preserve">Шляхом підписання цього документа відповідно до Закону України «Про захист персонал</w:t>
      </w:r>
      <w:r>
        <w:rPr>
          <w:rFonts w:ascii="Times New Roman" w:hAnsi="Times New Roman" w:eastAsia="Times New Roman"/>
          <w:sz w:val="20"/>
          <w:szCs w:val="20"/>
          <w:lang w:val="uk-UA" w:eastAsia="ru-RU"/>
        </w:rPr>
        <w:t xml:space="preserve">ьних даних», надаю згоду  на обробку моїх особистих даних, даних підприємства у списках та/або за допомогою інформаційно-телекомунікаційної системи бази даних з метою підготовки відповідно до вимог чинного законодавства адміністративної та іншої інформації</w:t>
      </w:r>
      <w:r>
        <w:rPr>
          <w:rFonts w:ascii="Times New Roman" w:hAnsi="Times New Roman" w:eastAsia="Times New Roman"/>
          <w:sz w:val="20"/>
          <w:szCs w:val="20"/>
          <w:lang w:val="uk-UA" w:eastAsia="ru-RU"/>
        </w:rPr>
        <w:t xml:space="preserve">. </w:t>
      </w:r>
      <w:r>
        <w:rPr>
          <w:rFonts w:ascii="Times New Roman" w:hAnsi="Times New Roman" w:eastAsia="Times New Roman"/>
          <w:sz w:val="20"/>
          <w:szCs w:val="20"/>
          <w:lang w:val="uk-UA" w:eastAsia="ru-RU"/>
        </w:rPr>
        <w:t xml:space="preserve"> Зобов`язуюсь при зміні персональних даних надати у найкоротший термін уточнену інформацію. Посвідчу</w:t>
      </w:r>
      <w:r>
        <w:rPr>
          <w:rFonts w:ascii="Times New Roman" w:hAnsi="Times New Roman" w:eastAsia="Times New Roman"/>
          <w:sz w:val="20"/>
          <w:szCs w:val="20"/>
          <w:lang w:val="uk-UA" w:eastAsia="ru-RU"/>
        </w:rPr>
        <w:t xml:space="preserve">ю, що повідомлений про використання  інформації про мене, підприємство, з метою надання часткового відшкодування витрат на участь у виставково-ярмаркових заходах на національному та міжнародному рівнях. З механізмом часткового відшкодування – ознайомлений.</w:t>
      </w:r>
      <w:r/>
    </w:p>
    <w:p>
      <w:pPr>
        <w:jc w:val="both"/>
        <w:spacing w:before="120" w:after="0" w:line="240" w:lineRule="auto"/>
        <w:rPr>
          <w:rFonts w:ascii="Times New Roman" w:hAnsi="Times New Roman" w:eastAsia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u w:val="single"/>
          <w:lang w:val="uk-UA" w:eastAsia="ru-RU"/>
        </w:rPr>
        <w:t xml:space="preserve">«   »                        20    р.                                   </w:t>
      </w:r>
      <w:r/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16"/>
          <w:szCs w:val="16"/>
          <w:lang w:val="uk-UA" w:eastAsia="ru-RU"/>
        </w:rPr>
        <w:t xml:space="preserve">        (число, місяць, рік)</w:t>
      </w:r>
      <w:r/>
    </w:p>
    <w:tbl>
      <w:tblPr>
        <w:tblStyle w:val="634"/>
        <w:tblW w:w="10490" w:type="dxa"/>
        <w:tblInd w:w="-175" w:type="dxa"/>
        <w:tblLook w:val="04A0" w:firstRow="1" w:lastRow="0" w:firstColumn="1" w:lastColumn="0" w:noHBand="0" w:noVBand="1"/>
      </w:tblPr>
      <w:tblGrid>
        <w:gridCol w:w="4252"/>
        <w:gridCol w:w="6238"/>
      </w:tblGrid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eastAsia="Times New Roman"/>
                <w:i/>
                <w:sz w:val="26"/>
                <w:szCs w:val="26"/>
                <w:lang w:val="uk-UA" w:eastAsia="ru-RU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69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Додаток 2</w:t>
            </w:r>
            <w:r/>
          </w:p>
          <w:p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ПОРЯДКУ</w:t>
            </w:r>
            <w:r/>
          </w:p>
          <w:p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використання коштів  обласного бюджету для  часткового відшкодування підприємствам області вартості витрат, </w:t>
            </w:r>
            <w:bookmarkStart w:id="2" w:name="_Hlk141197919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пов’язаних з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проведенням робіт з сертифікації виробленої продукції, систем управління та/або оцінки відповідності продукції</w:t>
            </w:r>
            <w:bookmarkEnd w:id="2"/>
            <w:r/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eastAsia="Times New Roman"/>
                <w:i/>
                <w:sz w:val="26"/>
                <w:szCs w:val="26"/>
                <w:lang w:val="uk-UA" w:eastAsia="ru-RU"/>
              </w:rPr>
            </w:r>
            <w:r/>
          </w:p>
        </w:tc>
      </w:tr>
    </w:tbl>
    <w:p>
      <w:pPr>
        <w:ind w:left="-360"/>
        <w:spacing w:after="0" w:line="240" w:lineRule="auto"/>
        <w:rPr>
          <w:rFonts w:ascii="Times New Roman" w:hAnsi="Times New Roman" w:eastAsia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lang w:val="uk-UA" w:eastAsia="ru-RU"/>
        </w:rPr>
      </w:r>
      <w:r/>
    </w:p>
    <w:p>
      <w:pPr>
        <w:ind w:left="-360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  <w:t xml:space="preserve">Інформаційний лист </w:t>
      </w:r>
      <w:r/>
    </w:p>
    <w:p>
      <w:pPr>
        <w:ind w:left="-360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  <w:t xml:space="preserve">до заяви на отримання часткового відшкодування витрат </w:t>
      </w:r>
      <w:r/>
    </w:p>
    <w:p>
      <w:pPr>
        <w:ind w:left="-360"/>
        <w:jc w:val="center"/>
        <w:spacing w:after="0" w:line="240" w:lineRule="auto"/>
        <w:rPr>
          <w:lang w:val="uk-UA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  <w:t xml:space="preserve">підприємства,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пов’язаних з   проведенням робіт з сертифікації виробленої продукції, систем управління та/або оцінки відповідності продукції</w:t>
      </w:r>
      <w:r/>
    </w:p>
    <w:p>
      <w:pPr>
        <w:ind w:left="-360"/>
        <w:jc w:val="center"/>
        <w:spacing w:after="0" w:line="240" w:lineRule="auto"/>
        <w:rPr>
          <w:rFonts w:ascii="Times New Roman" w:hAnsi="Times New Roman" w:eastAsia="Times New Roman"/>
          <w:sz w:val="12"/>
          <w:szCs w:val="12"/>
          <w:lang w:val="uk-UA" w:eastAsia="ru-RU"/>
        </w:rPr>
      </w:pPr>
      <w:r>
        <w:rPr>
          <w:rFonts w:ascii="Times New Roman" w:hAnsi="Times New Roman" w:eastAsia="Times New Roman"/>
          <w:sz w:val="12"/>
          <w:szCs w:val="12"/>
          <w:lang w:val="uk-UA" w:eastAsia="ru-RU"/>
        </w:rPr>
      </w:r>
      <w:r/>
    </w:p>
    <w:tbl>
      <w:tblPr>
        <w:tblW w:w="10080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540"/>
        <w:gridCol w:w="5400"/>
        <w:gridCol w:w="4140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Повна назва підприємства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Посада, ПІБ керівника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Код ЄДРПОУ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Юридична адреса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Фактична адреса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Контактні телефони,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ел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. пошта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КВЕД за основним видом діяльності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Назва документу про відповідність, дата видачі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Витрати на отримання (у відповідній валюті)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Банківські реквізити для здійснення перерахування часткового відшкодування (номер рахунку, установа банку, її код МФО)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Чи отримувало підприємство відшкодування витрат, пов’язаних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отриманням документів про відповідність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за рахунок коштів місцевих бюджетів у поточному році (так/ні, якщо так – вказати за рахунок якого бюджету)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Наявність заборгованості із виплати заробітної плати (є/відсутня) </w:t>
            </w:r>
            <w:r/>
          </w:p>
          <w:p>
            <w:pPr>
              <w:pStyle w:val="63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державним (місцевим) бюджетом (є/відсутня</w:t>
            </w:r>
            <w:r/>
          </w:p>
          <w:p>
            <w:pPr>
              <w:pStyle w:val="63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Пенсійним фондом України (є/відсутня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Чи визнано підприємство банкрутом або стосовно його порушено справу про банкрутство, перебуває у стадії припинення діяльності (так/ні)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Рівень середньомісячної заробітної плати працівників на дату подання заяви, грн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val="uk-UA" w:eastAsia="ru-RU"/>
              </w:rPr>
            </w:pPr>
            <w:r>
              <w:rPr>
                <w:rFonts w:ascii="Times New Roman" w:hAnsi="Times New Roman" w:eastAsia="Times New Roman"/>
                <w:lang w:val="uk-UA" w:eastAsia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Чистий прибуток (+)/збиток (-), одержаний за останній календарний рік (зазначити рік), останній звітний період поточного року (зазначити період), тис. грн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lang w:val="uk-UA" w:eastAsia="ru-RU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16"/>
          <w:szCs w:val="16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______________ _________ __________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br/>
      </w:r>
      <w:r>
        <w:rPr>
          <w:rFonts w:ascii="Times New Roman" w:hAnsi="Times New Roman" w:eastAsia="Times New Roman"/>
          <w:sz w:val="16"/>
          <w:szCs w:val="16"/>
          <w:lang w:val="uk-UA" w:eastAsia="ru-RU"/>
        </w:rPr>
        <w:t xml:space="preserve">    (Посада керівника)                                                                   (Підпис)                                                                       (ПІБ)</w:t>
      </w:r>
      <w:r/>
    </w:p>
    <w:p>
      <w:pPr>
        <w:spacing w:after="0" w:line="240" w:lineRule="auto"/>
        <w:rPr>
          <w:rFonts w:ascii="Times New Roman" w:hAnsi="Times New Roman" w:eastAsia="Times New Roman"/>
          <w:sz w:val="10"/>
          <w:szCs w:val="10"/>
          <w:lang w:val="uk-UA" w:eastAsia="ru-RU"/>
        </w:rPr>
      </w:pPr>
      <w:r>
        <w:rPr>
          <w:rFonts w:ascii="Times New Roman" w:hAnsi="Times New Roman" w:eastAsia="Times New Roman"/>
          <w:sz w:val="20"/>
          <w:szCs w:val="20"/>
          <w:lang w:val="uk-UA" w:eastAsia="ru-RU"/>
        </w:rPr>
        <w:t xml:space="preserve">                 </w:t>
      </w:r>
      <w:r>
        <w:rPr>
          <w:rFonts w:ascii="Times New Roman" w:hAnsi="Times New Roman" w:eastAsia="Times New Roman"/>
          <w:sz w:val="10"/>
          <w:szCs w:val="10"/>
          <w:lang w:val="uk-UA" w:eastAsia="ru-RU"/>
        </w:rPr>
        <w:t xml:space="preserve">            </w:t>
      </w:r>
      <w:r/>
    </w:p>
    <w:p>
      <w:pPr>
        <w:spacing w:after="0" w:line="240" w:lineRule="auto"/>
        <w:rPr>
          <w:rFonts w:ascii="Times New Roman" w:hAnsi="Times New Roman" w:eastAsia="Times New Roman"/>
          <w:lang w:val="uk-UA" w:eastAsia="ru-RU"/>
        </w:rPr>
      </w:pPr>
      <w:r>
        <w:rPr>
          <w:rFonts w:ascii="Times New Roman" w:hAnsi="Times New Roman" w:eastAsia="Times New Roman"/>
          <w:lang w:val="uk-UA" w:eastAsia="ru-RU"/>
        </w:rPr>
        <w:t xml:space="preserve">          М.П.</w:t>
      </w:r>
      <w:r/>
    </w:p>
    <w:p>
      <w:pPr>
        <w:jc w:val="both"/>
        <w:spacing w:before="80" w:after="0" w:line="240" w:lineRule="auto"/>
        <w:rPr>
          <w:rFonts w:ascii="Times New Roman" w:hAnsi="Times New Roman" w:eastAsia="Times New Roman"/>
          <w:sz w:val="26"/>
          <w:szCs w:val="26"/>
          <w:u w:val="single"/>
          <w:lang w:val="uk-UA" w:eastAsia="ru-RU"/>
        </w:rPr>
      </w:pPr>
      <w:r>
        <w:rPr>
          <w:rFonts w:ascii="Times New Roman" w:hAnsi="Times New Roman" w:eastAsia="Times New Roman"/>
          <w:sz w:val="26"/>
          <w:szCs w:val="26"/>
          <w:u w:val="single"/>
          <w:lang w:val="uk-UA" w:eastAsia="ru-RU"/>
        </w:rPr>
        <w:t xml:space="preserve">«   »                        20    р.                                    </w:t>
      </w:r>
      <w:r/>
    </w:p>
    <w:p>
      <w:pPr>
        <w:spacing w:after="0" w:line="240" w:lineRule="auto"/>
        <w:rPr>
          <w:rFonts w:ascii="Times New Roman" w:hAnsi="Times New Roman" w:eastAsia="Times New Roman"/>
          <w:sz w:val="16"/>
          <w:szCs w:val="16"/>
          <w:lang w:val="uk-UA" w:eastAsia="ru-RU"/>
        </w:rPr>
      </w:pPr>
      <w:r>
        <w:rPr>
          <w:rFonts w:ascii="Times New Roman" w:hAnsi="Times New Roman" w:eastAsia="Times New Roman"/>
          <w:sz w:val="16"/>
          <w:szCs w:val="16"/>
          <w:lang w:val="uk-UA" w:eastAsia="ru-RU"/>
        </w:rPr>
        <w:t xml:space="preserve">        (число, місяць, рік)</w:t>
      </w:r>
      <w:r/>
    </w:p>
    <w:p>
      <w:pPr>
        <w:ind w:left="4860"/>
        <w:spacing w:after="0" w:line="240" w:lineRule="auto"/>
      </w:pPr>
      <w:r/>
      <w:r/>
    </w:p>
    <w:p>
      <w:pPr>
        <w:spacing w:after="0" w:line="240" w:lineRule="auto"/>
      </w:pPr>
      <w:r/>
      <w:r/>
    </w:p>
    <w:sectPr>
      <w:footnotePr/>
      <w:endnotePr/>
      <w:type w:val="nextPage"/>
      <w:pgSz w:w="11906" w:h="16838" w:orient="portrait"/>
      <w:pgMar w:top="851" w:right="568" w:bottom="993" w:left="99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Mangal">
    <w:panose1 w:val="02020603050405020304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Microsoft YaHei">
    <w:panose1 w:val="020B060302020202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rFonts w:ascii="Times New Roman" w:hAnsi="Times New Roman"/>
        <w:b/>
        <w:sz w:val="28"/>
        <w:lang w:val="uk-UA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4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8"/>
    <w:next w:val="60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10"/>
    <w:link w:val="1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0"/>
    <w:link w:val="609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8"/>
    <w:next w:val="60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10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8"/>
    <w:next w:val="60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10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8"/>
    <w:next w:val="60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10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8"/>
    <w:next w:val="60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10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8"/>
    <w:next w:val="60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10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8"/>
    <w:next w:val="60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10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8"/>
    <w:next w:val="60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10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8"/>
    <w:next w:val="60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10"/>
    <w:link w:val="32"/>
    <w:uiPriority w:val="10"/>
    <w:rPr>
      <w:sz w:val="48"/>
      <w:szCs w:val="48"/>
    </w:rPr>
  </w:style>
  <w:style w:type="paragraph" w:styleId="34">
    <w:name w:val="Subtitle"/>
    <w:basedOn w:val="608"/>
    <w:next w:val="60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10"/>
    <w:link w:val="34"/>
    <w:uiPriority w:val="11"/>
    <w:rPr>
      <w:sz w:val="24"/>
      <w:szCs w:val="24"/>
    </w:rPr>
  </w:style>
  <w:style w:type="paragraph" w:styleId="36">
    <w:name w:val="Quote"/>
    <w:basedOn w:val="608"/>
    <w:next w:val="60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8"/>
    <w:next w:val="60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10"/>
    <w:link w:val="40"/>
    <w:uiPriority w:val="99"/>
  </w:style>
  <w:style w:type="paragraph" w:styleId="42">
    <w:name w:val="Footer"/>
    <w:basedOn w:val="60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10"/>
    <w:link w:val="42"/>
    <w:uiPriority w:val="99"/>
  </w:style>
  <w:style w:type="character" w:styleId="45">
    <w:name w:val="Caption Char"/>
    <w:basedOn w:val="630"/>
    <w:link w:val="42"/>
    <w:uiPriority w:val="99"/>
  </w:style>
  <w:style w:type="table" w:styleId="47">
    <w:name w:val="Table Grid Light"/>
    <w:basedOn w:val="6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10"/>
    <w:uiPriority w:val="99"/>
    <w:unhideWhenUsed/>
    <w:rPr>
      <w:vertAlign w:val="superscript"/>
    </w:rPr>
  </w:style>
  <w:style w:type="paragraph" w:styleId="176">
    <w:name w:val="endnote text"/>
    <w:basedOn w:val="60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0"/>
    <w:uiPriority w:val="99"/>
    <w:semiHidden/>
    <w:unhideWhenUsed/>
    <w:rPr>
      <w:vertAlign w:val="superscript"/>
    </w:rPr>
  </w:style>
  <w:style w:type="paragraph" w:styleId="179">
    <w:name w:val="toc 1"/>
    <w:basedOn w:val="608"/>
    <w:next w:val="60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8"/>
    <w:next w:val="60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8"/>
    <w:next w:val="60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8"/>
    <w:next w:val="60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8"/>
    <w:next w:val="60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8"/>
    <w:next w:val="60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8"/>
    <w:next w:val="60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8"/>
    <w:next w:val="60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8"/>
    <w:next w:val="60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8"/>
    <w:next w:val="608"/>
    <w:uiPriority w:val="99"/>
    <w:unhideWhenUsed/>
    <w:pPr>
      <w:spacing w:after="0" w:afterAutospacing="0"/>
    </w:pPr>
  </w:style>
  <w:style w:type="paragraph" w:styleId="608" w:default="1">
    <w:name w:val="Normal"/>
    <w:qFormat/>
    <w:pPr>
      <w:spacing w:after="200" w:line="276" w:lineRule="auto"/>
    </w:pPr>
    <w:rPr>
      <w:rFonts w:cs="Times New Roman"/>
    </w:rPr>
  </w:style>
  <w:style w:type="paragraph" w:styleId="609">
    <w:name w:val="Heading 2"/>
    <w:basedOn w:val="608"/>
    <w:next w:val="608"/>
    <w:link w:val="614"/>
    <w:qFormat/>
    <w:pPr>
      <w:keepNext/>
      <w:spacing w:before="240" w:after="60" w:line="240" w:lineRule="auto"/>
      <w:outlineLvl w:val="1"/>
    </w:pPr>
    <w:rPr>
      <w:rFonts w:ascii="Arial" w:hAnsi="Arial" w:cs="Arial" w:eastAsia="Times New Roman"/>
      <w:b/>
      <w:bCs/>
      <w:i/>
      <w:iCs/>
      <w:sz w:val="28"/>
      <w:szCs w:val="28"/>
      <w:lang w:eastAsia="ru-RU"/>
    </w:rPr>
  </w:style>
  <w:style w:type="character" w:styleId="610" w:default="1">
    <w:name w:val="Default Paragraph Font"/>
    <w:uiPriority w:val="1"/>
    <w:semiHidden/>
    <w:unhideWhenUsed/>
  </w:style>
  <w:style w:type="table" w:styleId="6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2" w:default="1">
    <w:name w:val="No List"/>
    <w:uiPriority w:val="99"/>
    <w:semiHidden/>
    <w:unhideWhenUsed/>
  </w:style>
  <w:style w:type="character" w:styleId="613" w:customStyle="1">
    <w:name w:val="Текст у виносці Знак"/>
    <w:basedOn w:val="610"/>
    <w:uiPriority w:val="99"/>
    <w:semiHidden/>
    <w:qFormat/>
    <w:rPr>
      <w:rFonts w:ascii="Segoe UI" w:hAnsi="Segoe UI" w:cs="Segoe UI" w:eastAsia="Calibri"/>
      <w:sz w:val="18"/>
      <w:szCs w:val="18"/>
    </w:rPr>
  </w:style>
  <w:style w:type="character" w:styleId="614" w:customStyle="1">
    <w:name w:val="Заголовок 2 Знак"/>
    <w:basedOn w:val="610"/>
    <w:link w:val="609"/>
    <w:qFormat/>
    <w:rPr>
      <w:rFonts w:ascii="Arial" w:hAnsi="Arial" w:cs="Arial" w:eastAsia="Times New Roman"/>
      <w:b/>
      <w:bCs/>
      <w:i/>
      <w:iCs/>
      <w:sz w:val="28"/>
      <w:szCs w:val="28"/>
      <w:lang w:eastAsia="ru-RU"/>
    </w:rPr>
  </w:style>
  <w:style w:type="character" w:styleId="615" w:customStyle="1">
    <w:name w:val="rvts23"/>
    <w:basedOn w:val="610"/>
    <w:qFormat/>
  </w:style>
  <w:style w:type="character" w:styleId="616" w:customStyle="1">
    <w:name w:val="ListLabel 1"/>
    <w:qFormat/>
    <w:rPr>
      <w:rFonts w:cs="Times New Roman" w:eastAsia="Times New Roman"/>
    </w:rPr>
  </w:style>
  <w:style w:type="character" w:styleId="617" w:customStyle="1">
    <w:name w:val="ListLabel 2"/>
    <w:qFormat/>
    <w:rPr>
      <w:rFonts w:cs="Courier New"/>
    </w:rPr>
  </w:style>
  <w:style w:type="character" w:styleId="618" w:customStyle="1">
    <w:name w:val="ListLabel 3"/>
    <w:qFormat/>
    <w:rPr>
      <w:rFonts w:cs="Courier New"/>
    </w:rPr>
  </w:style>
  <w:style w:type="character" w:styleId="619" w:customStyle="1">
    <w:name w:val="ListLabel 4"/>
    <w:qFormat/>
    <w:rPr>
      <w:rFonts w:cs="Courier New"/>
    </w:rPr>
  </w:style>
  <w:style w:type="character" w:styleId="620" w:customStyle="1">
    <w:name w:val="ListLabel 5"/>
    <w:qFormat/>
    <w:rPr>
      <w:b/>
    </w:rPr>
  </w:style>
  <w:style w:type="character" w:styleId="621" w:customStyle="1">
    <w:name w:val="ListLabel 6"/>
    <w:qFormat/>
    <w:rPr>
      <w:b/>
    </w:rPr>
  </w:style>
  <w:style w:type="character" w:styleId="622" w:customStyle="1">
    <w:name w:val="ListLabel 7"/>
    <w:qFormat/>
    <w:rPr>
      <w:rFonts w:ascii="Times New Roman" w:hAnsi="Times New Roman"/>
      <w:b/>
      <w:sz w:val="28"/>
    </w:rPr>
  </w:style>
  <w:style w:type="character" w:styleId="623" w:customStyle="1">
    <w:name w:val="ListLabel 8"/>
    <w:qFormat/>
    <w:rPr>
      <w:rFonts w:cs="Courier New"/>
    </w:rPr>
  </w:style>
  <w:style w:type="character" w:styleId="624" w:customStyle="1">
    <w:name w:val="ListLabel 9"/>
    <w:qFormat/>
    <w:rPr>
      <w:rFonts w:cs="Courier New"/>
    </w:rPr>
  </w:style>
  <w:style w:type="character" w:styleId="625" w:customStyle="1">
    <w:name w:val="ListLabel 10"/>
    <w:qFormat/>
    <w:rPr>
      <w:rFonts w:cs="Courier New"/>
    </w:rPr>
  </w:style>
  <w:style w:type="character" w:styleId="626" w:customStyle="1">
    <w:name w:val="ListLabel 11"/>
    <w:qFormat/>
    <w:rPr>
      <w:b/>
    </w:rPr>
  </w:style>
  <w:style w:type="paragraph" w:styleId="627" w:customStyle="1">
    <w:name w:val="Заголовок"/>
    <w:basedOn w:val="608"/>
    <w:next w:val="628"/>
    <w:qFormat/>
    <w:pPr>
      <w:keepNext/>
      <w:spacing w:before="240" w:after="120"/>
    </w:pPr>
    <w:rPr>
      <w:rFonts w:ascii="Liberation Sans" w:hAnsi="Liberation Sans" w:cs="Mangal" w:eastAsia="Microsoft YaHei"/>
      <w:sz w:val="28"/>
      <w:szCs w:val="28"/>
    </w:rPr>
  </w:style>
  <w:style w:type="paragraph" w:styleId="628">
    <w:name w:val="Body Text"/>
    <w:basedOn w:val="608"/>
    <w:pPr>
      <w:spacing w:after="140"/>
    </w:pPr>
  </w:style>
  <w:style w:type="paragraph" w:styleId="629">
    <w:name w:val="List"/>
    <w:basedOn w:val="628"/>
    <w:rPr>
      <w:rFonts w:cs="Mangal"/>
    </w:rPr>
  </w:style>
  <w:style w:type="paragraph" w:styleId="630">
    <w:name w:val="Caption"/>
    <w:basedOn w:val="608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31" w:customStyle="1">
    <w:name w:val="Указатель"/>
    <w:basedOn w:val="608"/>
    <w:qFormat/>
    <w:pPr>
      <w:suppressLineNumbers/>
    </w:pPr>
    <w:rPr>
      <w:rFonts w:cs="Mangal"/>
    </w:rPr>
  </w:style>
  <w:style w:type="paragraph" w:styleId="632">
    <w:name w:val="Balloon Text"/>
    <w:basedOn w:val="60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33">
    <w:name w:val="List Paragraph"/>
    <w:basedOn w:val="608"/>
    <w:uiPriority w:val="34"/>
    <w:qFormat/>
    <w:pPr>
      <w:contextualSpacing/>
      <w:ind w:left="720"/>
    </w:pPr>
  </w:style>
  <w:style w:type="table" w:styleId="634">
    <w:name w:val="Table Grid"/>
    <w:basedOn w:val="61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uzez</dc:creator>
  <dc:description/>
  <dc:language>uk-UA</dc:language>
  <cp:lastModifiedBy>Anonymous</cp:lastModifiedBy>
  <cp:revision>20</cp:revision>
  <dcterms:created xsi:type="dcterms:W3CDTF">2023-07-26T11:07:00Z</dcterms:created>
  <dcterms:modified xsi:type="dcterms:W3CDTF">2023-08-02T09:17:14Z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